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48394" w14:textId="0D752147" w:rsidR="008E31D4" w:rsidRPr="00A953F9" w:rsidRDefault="00A7023F">
      <w:pPr>
        <w:pStyle w:val="Titolo1"/>
        <w:spacing w:before="49"/>
        <w:ind w:left="849" w:right="271"/>
        <w:rPr>
          <w:sz w:val="28"/>
          <w:szCs w:val="28"/>
        </w:rPr>
      </w:pPr>
      <w:r w:rsidRPr="00A953F9">
        <w:rPr>
          <w:sz w:val="28"/>
          <w:szCs w:val="28"/>
        </w:rPr>
        <w:t xml:space="preserve">PROCEDURA </w:t>
      </w:r>
      <w:r w:rsidR="00B34C7B">
        <w:rPr>
          <w:sz w:val="28"/>
          <w:szCs w:val="28"/>
        </w:rPr>
        <w:t xml:space="preserve">NEGOZIATA SENZA BANDO </w:t>
      </w:r>
      <w:r w:rsidRPr="00A953F9">
        <w:rPr>
          <w:sz w:val="28"/>
          <w:szCs w:val="28"/>
        </w:rPr>
        <w:t xml:space="preserve">PER LA GESTIONE IN CONCESSIONE DEL SERVIZIO DI RISCOSSIONE COATTIVA DELLE ENTRATE TRIBUTARIE, PATRIMONIALI E SANZIONI AMMINISTRATIVE </w:t>
      </w:r>
      <w:r w:rsidR="00924295">
        <w:rPr>
          <w:sz w:val="28"/>
          <w:szCs w:val="28"/>
        </w:rPr>
        <w:t>DEL COMUNE DI ALBIANO D’IVREA</w:t>
      </w:r>
    </w:p>
    <w:p w14:paraId="1CD48395" w14:textId="77777777" w:rsidR="008E31D4" w:rsidRPr="00A953F9" w:rsidRDefault="008E31D4">
      <w:pPr>
        <w:pStyle w:val="Corpotesto"/>
        <w:jc w:val="left"/>
        <w:rPr>
          <w:b/>
          <w:sz w:val="28"/>
          <w:szCs w:val="28"/>
        </w:rPr>
      </w:pPr>
    </w:p>
    <w:p w14:paraId="1CD48396" w14:textId="77777777" w:rsidR="008E31D4" w:rsidRPr="00A953F9" w:rsidRDefault="008E31D4">
      <w:pPr>
        <w:pStyle w:val="Corpotesto"/>
        <w:spacing w:before="12"/>
        <w:jc w:val="left"/>
        <w:rPr>
          <w:b/>
          <w:sz w:val="28"/>
          <w:szCs w:val="28"/>
        </w:rPr>
      </w:pPr>
    </w:p>
    <w:p w14:paraId="1CD48397" w14:textId="77777777" w:rsidR="008E31D4" w:rsidRPr="00A953F9" w:rsidRDefault="00A7023F">
      <w:pPr>
        <w:ind w:left="3228" w:right="2646"/>
        <w:jc w:val="center"/>
        <w:rPr>
          <w:b/>
          <w:sz w:val="28"/>
          <w:szCs w:val="28"/>
        </w:rPr>
      </w:pPr>
      <w:r w:rsidRPr="00A953F9">
        <w:rPr>
          <w:b/>
          <w:sz w:val="28"/>
          <w:szCs w:val="28"/>
          <w:u w:val="single"/>
        </w:rPr>
        <w:t>RELAZIONE</w:t>
      </w:r>
      <w:r w:rsidRPr="00A953F9">
        <w:rPr>
          <w:b/>
          <w:spacing w:val="-15"/>
          <w:sz w:val="28"/>
          <w:szCs w:val="28"/>
          <w:u w:val="single"/>
        </w:rPr>
        <w:t xml:space="preserve"> </w:t>
      </w:r>
      <w:r w:rsidRPr="00A953F9">
        <w:rPr>
          <w:b/>
          <w:sz w:val="28"/>
          <w:szCs w:val="28"/>
          <w:u w:val="single"/>
        </w:rPr>
        <w:t>TECNICO</w:t>
      </w:r>
      <w:r w:rsidRPr="00A953F9">
        <w:rPr>
          <w:b/>
          <w:sz w:val="28"/>
          <w:szCs w:val="28"/>
        </w:rPr>
        <w:t xml:space="preserve"> </w:t>
      </w:r>
      <w:r w:rsidRPr="00A953F9">
        <w:rPr>
          <w:b/>
          <w:spacing w:val="-2"/>
          <w:sz w:val="28"/>
          <w:szCs w:val="28"/>
          <w:u w:val="single"/>
        </w:rPr>
        <w:t>ILLUSTRATIVA</w:t>
      </w:r>
    </w:p>
    <w:p w14:paraId="1CD48398" w14:textId="77777777" w:rsidR="008E31D4" w:rsidRPr="00A953F9" w:rsidRDefault="008E31D4">
      <w:pPr>
        <w:pStyle w:val="Corpotesto"/>
        <w:spacing w:before="231"/>
        <w:jc w:val="left"/>
        <w:rPr>
          <w:b/>
          <w:sz w:val="28"/>
          <w:szCs w:val="28"/>
        </w:rPr>
      </w:pPr>
    </w:p>
    <w:p w14:paraId="1CD48399" w14:textId="77777777" w:rsidR="008E31D4" w:rsidRPr="00A953F9" w:rsidRDefault="00A7023F">
      <w:pPr>
        <w:pStyle w:val="Corpotesto"/>
        <w:spacing w:line="216" w:lineRule="auto"/>
        <w:ind w:left="849" w:right="124"/>
        <w:rPr>
          <w:sz w:val="28"/>
          <w:szCs w:val="28"/>
        </w:rPr>
      </w:pPr>
      <w:r w:rsidRPr="00A953F9">
        <w:rPr>
          <w:sz w:val="28"/>
          <w:szCs w:val="28"/>
        </w:rPr>
        <w:t>Gli insoluti rappresentano un problema per gli enti locali sia perché sottraggono ai bilanci</w:t>
      </w:r>
      <w:r w:rsidRPr="00A953F9">
        <w:rPr>
          <w:spacing w:val="80"/>
          <w:sz w:val="28"/>
          <w:szCs w:val="28"/>
        </w:rPr>
        <w:t xml:space="preserve"> </w:t>
      </w:r>
      <w:r w:rsidRPr="00A953F9">
        <w:rPr>
          <w:spacing w:val="-2"/>
          <w:sz w:val="28"/>
          <w:szCs w:val="28"/>
        </w:rPr>
        <w:t>preziose</w:t>
      </w:r>
    </w:p>
    <w:p w14:paraId="1CD4839A" w14:textId="77777777" w:rsidR="008E31D4" w:rsidRPr="00A953F9" w:rsidRDefault="00A7023F">
      <w:pPr>
        <w:pStyle w:val="Corpotesto"/>
        <w:spacing w:before="4"/>
        <w:ind w:left="849" w:right="272"/>
        <w:rPr>
          <w:sz w:val="28"/>
          <w:szCs w:val="28"/>
        </w:rPr>
      </w:pPr>
      <w:r w:rsidRPr="00A953F9">
        <w:rPr>
          <w:sz w:val="28"/>
          <w:szCs w:val="28"/>
        </w:rPr>
        <w:t xml:space="preserve">risorse che potrebbero altrimenti essere destinate ai servizi pubblici, sia perché costituiscono un elemento di intollerabile iniquità nei confronti di cittadini, imprese e utenti, che pagano regolarmente quanto dovuto. Sono generalmente destinati a crescere perché ogni anno si creano nuovi accertamenti di crediti che non vengono incassati e quindi si cumulano a quelli degli anni precedenti. </w:t>
      </w:r>
      <w:proofErr w:type="gramStart"/>
      <w:r w:rsidRPr="00A953F9">
        <w:rPr>
          <w:sz w:val="28"/>
          <w:szCs w:val="28"/>
        </w:rPr>
        <w:t>E’</w:t>
      </w:r>
      <w:proofErr w:type="gramEnd"/>
      <w:r w:rsidRPr="00A953F9">
        <w:rPr>
          <w:spacing w:val="-11"/>
          <w:sz w:val="28"/>
          <w:szCs w:val="28"/>
        </w:rPr>
        <w:t xml:space="preserve"> </w:t>
      </w:r>
      <w:r w:rsidRPr="00A953F9">
        <w:rPr>
          <w:sz w:val="28"/>
          <w:szCs w:val="28"/>
        </w:rPr>
        <w:t>vero che, sia con la riscossione ordinaria sia con la riscossione coattiva, una parte degli insoluti pregressi si riesce comunque a incassare anche a distanza di anni, ma non basta a compensarne l’aumento.</w:t>
      </w:r>
    </w:p>
    <w:p w14:paraId="1CD4839B" w14:textId="77777777" w:rsidR="008E31D4" w:rsidRPr="00A953F9" w:rsidRDefault="00A7023F">
      <w:pPr>
        <w:pStyle w:val="Corpotesto"/>
        <w:spacing w:before="11"/>
        <w:ind w:left="849" w:right="263"/>
        <w:rPr>
          <w:sz w:val="28"/>
          <w:szCs w:val="28"/>
        </w:rPr>
      </w:pPr>
      <w:r w:rsidRPr="00A953F9">
        <w:rPr>
          <w:sz w:val="28"/>
          <w:szCs w:val="28"/>
        </w:rPr>
        <w:t>Ne consegue la necessità di affrontare il problema per cercare di ridurlo il più possibile, con adeguate soluzioni amministrative, organizzative e tecniche che permettano di recuperare i crediti scaduti pregressi e soprattutto di ridurre per quanto possibile la formazione di nuovi insoluti, mediante una più tempestiva ed efficace lavorazione delle posizioni debitorie.</w:t>
      </w:r>
    </w:p>
    <w:p w14:paraId="1CD4839C" w14:textId="77777777" w:rsidR="008E31D4" w:rsidRPr="00A953F9" w:rsidRDefault="00A7023F">
      <w:pPr>
        <w:pStyle w:val="Corpotesto"/>
        <w:spacing w:before="7"/>
        <w:ind w:left="849" w:right="277"/>
        <w:rPr>
          <w:sz w:val="28"/>
          <w:szCs w:val="28"/>
        </w:rPr>
      </w:pPr>
      <w:r w:rsidRPr="00A953F9">
        <w:rPr>
          <w:sz w:val="28"/>
          <w:szCs w:val="28"/>
        </w:rPr>
        <w:t>Ad oggi le funzioni e le attività relative alla riscossione coattiva di tutte le entrate comunali</w:t>
      </w:r>
      <w:r w:rsidRPr="00A953F9">
        <w:rPr>
          <w:spacing w:val="80"/>
          <w:w w:val="150"/>
          <w:sz w:val="28"/>
          <w:szCs w:val="28"/>
        </w:rPr>
        <w:t xml:space="preserve"> </w:t>
      </w:r>
      <w:r w:rsidRPr="00A953F9">
        <w:rPr>
          <w:sz w:val="28"/>
          <w:szCs w:val="28"/>
        </w:rPr>
        <w:t>sono affidate al soggetto pubblico al quale è attribuita la funzione pubblica della riscossione nazionale denominato Agenzia Entrate- Riscossione S.p.a.</w:t>
      </w:r>
    </w:p>
    <w:p w14:paraId="1CD4839D" w14:textId="77777777" w:rsidR="008E31D4" w:rsidRPr="00A953F9" w:rsidRDefault="00A7023F">
      <w:pPr>
        <w:pStyle w:val="Corpotesto"/>
        <w:spacing w:before="5"/>
        <w:ind w:left="849" w:right="261"/>
        <w:rPr>
          <w:sz w:val="28"/>
          <w:szCs w:val="28"/>
        </w:rPr>
      </w:pPr>
      <w:r w:rsidRPr="00A953F9">
        <w:rPr>
          <w:sz w:val="28"/>
          <w:szCs w:val="28"/>
        </w:rPr>
        <w:t>L’Amministrazione ritiene necessario sostituire l’attuale soggetto affidatario del servizio di riscossione coattiva Agenzia Entrate-Riscossione S.p.a., in considerazione della ridotta riscossione a fronte di elevati costi per aggio e per rimborso di spese esecutive. Infatti Agenzia Entrate- Riscossione S.p.A. si rivolge ad una tipologia di grandi evasori, diversi rispetto a quelli che interessano gli enti locali e che generalmente comportano importi di minore ammontare.</w:t>
      </w:r>
    </w:p>
    <w:p w14:paraId="1CD4839E" w14:textId="77777777" w:rsidR="008E31D4" w:rsidRPr="00A953F9" w:rsidRDefault="008E31D4">
      <w:pPr>
        <w:pStyle w:val="Corpotesto"/>
        <w:spacing w:before="212"/>
        <w:jc w:val="left"/>
        <w:rPr>
          <w:sz w:val="28"/>
          <w:szCs w:val="28"/>
        </w:rPr>
      </w:pPr>
    </w:p>
    <w:p w14:paraId="1CD4839F" w14:textId="77777777" w:rsidR="008E31D4" w:rsidRPr="00A953F9" w:rsidRDefault="00A7023F">
      <w:pPr>
        <w:pStyle w:val="Corpotesto"/>
        <w:spacing w:before="1"/>
        <w:ind w:left="849" w:right="275"/>
        <w:rPr>
          <w:sz w:val="28"/>
          <w:szCs w:val="28"/>
        </w:rPr>
      </w:pPr>
      <w:r w:rsidRPr="00A953F9">
        <w:rPr>
          <w:sz w:val="28"/>
          <w:szCs w:val="28"/>
        </w:rPr>
        <w:t xml:space="preserve">Il ricorso al mercato esterno può avvenire per il tramite di due soluzioni alternative: l’acquisto del personale e dei servizi (appalto) o la concessione (attribuzione a terzi delle facoltà originariamente in capo al comune). La scelta se affidare in appalto o in concessione il servizio di riscossione coattiva delle entrate dell’Ente dipende dal numero di personale da dedicare a tale attività e </w:t>
      </w:r>
      <w:r w:rsidRPr="00A953F9">
        <w:rPr>
          <w:sz w:val="28"/>
          <w:szCs w:val="28"/>
        </w:rPr>
        <w:lastRenderedPageBreak/>
        <w:t>dalla presenza di figure che abbiano specifica competenza in tale materia.</w:t>
      </w:r>
    </w:p>
    <w:p w14:paraId="1CD483A0" w14:textId="77777777" w:rsidR="008E31D4" w:rsidRPr="00A953F9" w:rsidRDefault="00A7023F">
      <w:pPr>
        <w:pStyle w:val="Corpotesto"/>
        <w:spacing w:before="8"/>
        <w:ind w:left="849" w:right="261"/>
        <w:rPr>
          <w:sz w:val="28"/>
          <w:szCs w:val="28"/>
        </w:rPr>
      </w:pPr>
      <w:r w:rsidRPr="00A953F9">
        <w:rPr>
          <w:sz w:val="28"/>
          <w:szCs w:val="28"/>
        </w:rPr>
        <w:t>L’Amministrazione reputa più efficiente non affidare il servizio di riscossione coattiva in</w:t>
      </w:r>
      <w:r w:rsidRPr="00A953F9">
        <w:rPr>
          <w:spacing w:val="80"/>
          <w:sz w:val="28"/>
          <w:szCs w:val="28"/>
        </w:rPr>
        <w:t xml:space="preserve"> </w:t>
      </w:r>
      <w:r w:rsidRPr="00A953F9">
        <w:rPr>
          <w:sz w:val="28"/>
          <w:szCs w:val="28"/>
        </w:rPr>
        <w:t>appalto considerato che per sua natura questa tipologia di contratto comporta il permanere di tutte le responsabilità e dei rischi in capo alla stazione appaltante con conseguente necessità che il personale comunale esegua massicci e continuativi controlli sull’attività svolta dal soggetto esterno. Tale scenario lascia spazio alla soluzione della esternalizzazione con concessione. Le attività in concessione hanno l’innegabile vantaggio di poter essere gestite senza il coinvolgimento del personale interno all’Ente e l’interruzione dell’operatività dello stesso.</w:t>
      </w:r>
    </w:p>
    <w:p w14:paraId="667DC289" w14:textId="77777777" w:rsidR="00A953F9" w:rsidRDefault="00A953F9">
      <w:pPr>
        <w:pStyle w:val="Corpotesto"/>
        <w:spacing w:before="48"/>
        <w:ind w:left="643" w:right="165"/>
        <w:rPr>
          <w:sz w:val="28"/>
          <w:szCs w:val="28"/>
        </w:rPr>
      </w:pPr>
    </w:p>
    <w:p w14:paraId="1CD483A4" w14:textId="7A140EEA" w:rsidR="008E31D4" w:rsidRDefault="00A7023F">
      <w:pPr>
        <w:pStyle w:val="Corpotesto"/>
        <w:ind w:left="643" w:right="129"/>
        <w:rPr>
          <w:sz w:val="28"/>
          <w:szCs w:val="28"/>
        </w:rPr>
      </w:pPr>
      <w:r w:rsidRPr="00A953F9">
        <w:rPr>
          <w:sz w:val="28"/>
          <w:szCs w:val="28"/>
        </w:rPr>
        <w:t>Oggetto della presente procedura di gara è la concessione del servizio di riscossione coattiva delle entrate de</w:t>
      </w:r>
      <w:r w:rsidR="00DF006E">
        <w:rPr>
          <w:sz w:val="28"/>
          <w:szCs w:val="28"/>
        </w:rPr>
        <w:t>l</w:t>
      </w:r>
      <w:r w:rsidRPr="00A953F9">
        <w:rPr>
          <w:sz w:val="28"/>
          <w:szCs w:val="28"/>
        </w:rPr>
        <w:t xml:space="preserve"> Comun</w:t>
      </w:r>
      <w:r w:rsidR="00DF006E">
        <w:rPr>
          <w:sz w:val="28"/>
          <w:szCs w:val="28"/>
        </w:rPr>
        <w:t>e di Albiano d’Ivra</w:t>
      </w:r>
      <w:r w:rsidRPr="00A953F9">
        <w:rPr>
          <w:sz w:val="28"/>
          <w:szCs w:val="28"/>
        </w:rPr>
        <w:t xml:space="preserve"> come dettagliatamente descritto nel Capitolato d’oneri. </w:t>
      </w:r>
    </w:p>
    <w:p w14:paraId="39624624" w14:textId="77777777" w:rsidR="00DF006E" w:rsidRPr="00A953F9" w:rsidRDefault="00DF006E">
      <w:pPr>
        <w:pStyle w:val="Corpotesto"/>
        <w:ind w:left="643" w:right="129"/>
        <w:rPr>
          <w:sz w:val="28"/>
          <w:szCs w:val="28"/>
        </w:rPr>
      </w:pPr>
    </w:p>
    <w:p w14:paraId="1CD483A5" w14:textId="77777777" w:rsidR="008E31D4" w:rsidRPr="00A953F9" w:rsidRDefault="00A7023F">
      <w:pPr>
        <w:pStyle w:val="Corpotesto"/>
        <w:spacing w:before="7"/>
        <w:ind w:left="643" w:right="130"/>
        <w:rPr>
          <w:sz w:val="28"/>
          <w:szCs w:val="28"/>
        </w:rPr>
      </w:pPr>
      <w:r w:rsidRPr="00A953F9">
        <w:rPr>
          <w:sz w:val="28"/>
          <w:szCs w:val="28"/>
        </w:rPr>
        <w:t>Le modalità, le caratteristiche tecniche e le tipologie degli interventi sono descritte dettagliatamente nel Capitolato, al quale si fa esplicito rinvio.</w:t>
      </w:r>
    </w:p>
    <w:p w14:paraId="1CD483A6" w14:textId="77777777" w:rsidR="008E31D4" w:rsidRPr="00A953F9" w:rsidRDefault="00A7023F">
      <w:pPr>
        <w:pStyle w:val="Corpotesto"/>
        <w:spacing w:before="3"/>
        <w:ind w:left="643" w:right="127"/>
        <w:rPr>
          <w:sz w:val="28"/>
          <w:szCs w:val="28"/>
        </w:rPr>
      </w:pPr>
      <w:r w:rsidRPr="00A953F9">
        <w:rPr>
          <w:sz w:val="28"/>
          <w:szCs w:val="28"/>
        </w:rPr>
        <w:t>Le prestazioni contrattuali devono essere eseguite in conformità a quanto previsto nel capitolato e nell’offerta presentata in sede di gara.</w:t>
      </w:r>
    </w:p>
    <w:p w14:paraId="2E1BC954" w14:textId="77777777" w:rsidR="00DF006E" w:rsidRDefault="00DF006E">
      <w:pPr>
        <w:pStyle w:val="Corpotesto"/>
        <w:spacing w:before="1"/>
        <w:ind w:left="643" w:right="129"/>
        <w:rPr>
          <w:sz w:val="28"/>
          <w:szCs w:val="28"/>
        </w:rPr>
      </w:pPr>
    </w:p>
    <w:p w14:paraId="1CD483A9" w14:textId="14F8E48E" w:rsidR="008E31D4" w:rsidRPr="00A953F9" w:rsidRDefault="00A7023F">
      <w:pPr>
        <w:pStyle w:val="Corpotesto"/>
        <w:spacing w:before="1"/>
        <w:ind w:left="643" w:right="129"/>
        <w:rPr>
          <w:sz w:val="28"/>
          <w:szCs w:val="28"/>
        </w:rPr>
      </w:pPr>
      <w:r w:rsidRPr="00A953F9">
        <w:rPr>
          <w:sz w:val="28"/>
          <w:szCs w:val="28"/>
        </w:rPr>
        <w:t xml:space="preserve">La concessione, con riferimento alla consegna delle liste di carico da parte degli Enti, avrà durata di 5 (cinque) anni e decorrerà presumibilmente dal mese di </w:t>
      </w:r>
      <w:r w:rsidR="002E0541">
        <w:rPr>
          <w:sz w:val="28"/>
          <w:szCs w:val="28"/>
        </w:rPr>
        <w:t>agosto 2026</w:t>
      </w:r>
      <w:r w:rsidRPr="00A953F9">
        <w:rPr>
          <w:sz w:val="28"/>
          <w:szCs w:val="28"/>
        </w:rPr>
        <w:t xml:space="preserve"> dalla data di stipula del contratto o, in caso di necessità o urgenza, dall’esecuzione del contratto in via d’urgenza</w:t>
      </w:r>
      <w:r w:rsidR="002E0541">
        <w:rPr>
          <w:sz w:val="28"/>
          <w:szCs w:val="28"/>
        </w:rPr>
        <w:t xml:space="preserve">; </w:t>
      </w:r>
      <w:r w:rsidR="001455C4">
        <w:rPr>
          <w:sz w:val="28"/>
          <w:szCs w:val="28"/>
        </w:rPr>
        <w:t>in</w:t>
      </w:r>
      <w:r w:rsidRPr="00A953F9">
        <w:rPr>
          <w:sz w:val="28"/>
          <w:szCs w:val="28"/>
        </w:rPr>
        <w:t xml:space="preserve"> quest’ultimo caso farà fede la data della sottoscrizione del verbale di consegna del servizio.</w:t>
      </w:r>
    </w:p>
    <w:p w14:paraId="68A3D06D" w14:textId="77777777" w:rsidR="00DF006E" w:rsidRDefault="00DF006E">
      <w:pPr>
        <w:pStyle w:val="Corpotesto"/>
        <w:spacing w:before="8"/>
        <w:ind w:left="643" w:right="115"/>
        <w:rPr>
          <w:sz w:val="28"/>
          <w:szCs w:val="28"/>
        </w:rPr>
      </w:pPr>
    </w:p>
    <w:p w14:paraId="0C6F2C1C" w14:textId="4807B2F7" w:rsidR="000A4EF1" w:rsidRDefault="00A7023F">
      <w:pPr>
        <w:pStyle w:val="Corpotesto"/>
        <w:spacing w:before="8"/>
        <w:ind w:left="643" w:right="115"/>
        <w:rPr>
          <w:sz w:val="28"/>
          <w:szCs w:val="28"/>
        </w:rPr>
      </w:pPr>
      <w:r w:rsidRPr="00A953F9">
        <w:rPr>
          <w:sz w:val="28"/>
          <w:szCs w:val="28"/>
        </w:rPr>
        <w:t>Relativamente alle liste di carico trasmesse entro il quinquennio suddetto, il Concessionario dovrà, comunque, portare a termine il servizio di riscossione coattiva, effettuando l’incasso e/o le relative attività cautelari/esecutive affidate al medesimo, nonché definendo ogni attività connessa e conseguente, fino alla presentazione delle comunicazioni d’inesigibilità</w:t>
      </w:r>
      <w:r w:rsidR="000A4EF1">
        <w:rPr>
          <w:sz w:val="28"/>
          <w:szCs w:val="28"/>
        </w:rPr>
        <w:t xml:space="preserve"> di tutte le liste di carico affidate;</w:t>
      </w:r>
    </w:p>
    <w:p w14:paraId="1CD483AC" w14:textId="082666FD" w:rsidR="008E31D4" w:rsidRPr="00A953F9" w:rsidRDefault="00A7023F">
      <w:pPr>
        <w:pStyle w:val="Corpotesto"/>
        <w:spacing w:before="7"/>
        <w:ind w:left="643" w:right="116"/>
        <w:rPr>
          <w:rFonts w:ascii="Arial MT" w:hAnsi="Arial MT"/>
          <w:sz w:val="28"/>
          <w:szCs w:val="28"/>
        </w:rPr>
      </w:pPr>
      <w:proofErr w:type="gramStart"/>
      <w:r w:rsidRPr="00A953F9">
        <w:rPr>
          <w:sz w:val="28"/>
          <w:szCs w:val="28"/>
        </w:rPr>
        <w:t>E’</w:t>
      </w:r>
      <w:proofErr w:type="gramEnd"/>
      <w:r w:rsidRPr="00A953F9">
        <w:rPr>
          <w:spacing w:val="-3"/>
          <w:sz w:val="28"/>
          <w:szCs w:val="28"/>
        </w:rPr>
        <w:t xml:space="preserve"> </w:t>
      </w:r>
      <w:r w:rsidRPr="00A953F9">
        <w:rPr>
          <w:sz w:val="28"/>
          <w:szCs w:val="28"/>
        </w:rPr>
        <w:t>escluso ogni tacito rinnovo</w:t>
      </w:r>
      <w:r w:rsidRPr="00A953F9">
        <w:rPr>
          <w:rFonts w:ascii="Arial MT" w:hAnsi="Arial MT"/>
          <w:sz w:val="28"/>
          <w:szCs w:val="28"/>
        </w:rPr>
        <w:t>.</w:t>
      </w:r>
    </w:p>
    <w:p w14:paraId="1CD483AD" w14:textId="77777777" w:rsidR="008E31D4" w:rsidRPr="00A953F9" w:rsidRDefault="008E31D4">
      <w:pPr>
        <w:pStyle w:val="Corpotesto"/>
        <w:spacing w:before="164"/>
        <w:jc w:val="left"/>
        <w:rPr>
          <w:rFonts w:ascii="Arial MT"/>
          <w:sz w:val="28"/>
          <w:szCs w:val="28"/>
        </w:rPr>
      </w:pPr>
    </w:p>
    <w:p w14:paraId="1CD483AE" w14:textId="77777777" w:rsidR="008E31D4" w:rsidRPr="00A953F9" w:rsidRDefault="00A7023F">
      <w:pPr>
        <w:pStyle w:val="Corpotesto"/>
        <w:spacing w:before="1"/>
        <w:ind w:left="643" w:right="131"/>
        <w:rPr>
          <w:sz w:val="28"/>
          <w:szCs w:val="28"/>
        </w:rPr>
      </w:pPr>
      <w:r w:rsidRPr="00A953F9">
        <w:rPr>
          <w:sz w:val="28"/>
          <w:szCs w:val="28"/>
        </w:rPr>
        <w:t xml:space="preserve">La concessione si qualifica come un contratto a titolo oneroso in virtù del quale viene affidata ad un operatore economico la fornitura e la gestione di servizi, riconoscendo a titolo di corrispettivo unicamente il diritto di gestire i servizi oggetto del contratto o tale diritto accompagnato da un prezzo, con assunzione in capo al concessionario del rischio operativo legato alla gestione dei </w:t>
      </w:r>
      <w:r w:rsidRPr="00A953F9">
        <w:rPr>
          <w:spacing w:val="-2"/>
          <w:sz w:val="28"/>
          <w:szCs w:val="28"/>
        </w:rPr>
        <w:t>servizi.</w:t>
      </w:r>
    </w:p>
    <w:p w14:paraId="1CD483AF" w14:textId="77777777" w:rsidR="008E31D4" w:rsidRPr="00A953F9" w:rsidRDefault="008E31D4">
      <w:pPr>
        <w:pStyle w:val="Corpotesto"/>
        <w:spacing w:before="9"/>
        <w:jc w:val="left"/>
        <w:rPr>
          <w:sz w:val="28"/>
          <w:szCs w:val="28"/>
        </w:rPr>
      </w:pPr>
    </w:p>
    <w:p w14:paraId="1CD483B0" w14:textId="77777777" w:rsidR="008E31D4" w:rsidRPr="00A953F9" w:rsidRDefault="00A7023F">
      <w:pPr>
        <w:pStyle w:val="Corpotesto"/>
        <w:spacing w:before="1"/>
        <w:ind w:left="643" w:right="129"/>
        <w:rPr>
          <w:sz w:val="28"/>
          <w:szCs w:val="28"/>
        </w:rPr>
      </w:pPr>
      <w:r w:rsidRPr="00A953F9">
        <w:rPr>
          <w:sz w:val="28"/>
          <w:szCs w:val="28"/>
        </w:rPr>
        <w:t xml:space="preserve">Il rischio imprenditoriale di cui il concessionario è portatore discende non solo dal flusso di accesso degli utenti al servizio e dalle variazioni di mercato, ma anche da scelte dell’imprenditore in merito all’organizzazione dei propri mezzi e delle </w:t>
      </w:r>
      <w:r w:rsidRPr="00A953F9">
        <w:rPr>
          <w:sz w:val="28"/>
          <w:szCs w:val="28"/>
        </w:rPr>
        <w:lastRenderedPageBreak/>
        <w:t>modalità di offerta del servizio, in quanto capaci di orientare la domanda e di condizionare eventuali fattori esogeni.</w:t>
      </w:r>
    </w:p>
    <w:p w14:paraId="1CD483B2" w14:textId="77777777" w:rsidR="008E31D4" w:rsidRPr="00A953F9" w:rsidRDefault="00A7023F">
      <w:pPr>
        <w:pStyle w:val="Corpotesto"/>
        <w:spacing w:before="48"/>
        <w:ind w:left="643" w:right="137"/>
        <w:rPr>
          <w:sz w:val="28"/>
          <w:szCs w:val="28"/>
        </w:rPr>
      </w:pPr>
      <w:r w:rsidRPr="00A953F9">
        <w:rPr>
          <w:sz w:val="28"/>
          <w:szCs w:val="28"/>
        </w:rPr>
        <w:t>Ai fini dell’inquadramento di un contratto come concessione è necessario che sia trasferito sul concessionario il rischio operativo.</w:t>
      </w:r>
    </w:p>
    <w:p w14:paraId="1CD483B3" w14:textId="6A9CDDF2" w:rsidR="008E31D4" w:rsidRDefault="00A7023F">
      <w:pPr>
        <w:pStyle w:val="Corpotesto"/>
        <w:spacing w:before="3"/>
        <w:ind w:left="643" w:right="119"/>
        <w:rPr>
          <w:sz w:val="28"/>
          <w:szCs w:val="28"/>
        </w:rPr>
      </w:pPr>
      <w:r w:rsidRPr="00A953F9">
        <w:rPr>
          <w:sz w:val="28"/>
          <w:szCs w:val="28"/>
        </w:rPr>
        <w:t xml:space="preserve">Ai sensi dell’art. </w:t>
      </w:r>
      <w:r w:rsidR="00953CC7">
        <w:rPr>
          <w:sz w:val="28"/>
          <w:szCs w:val="28"/>
        </w:rPr>
        <w:t>177</w:t>
      </w:r>
      <w:r w:rsidRPr="00A953F9">
        <w:rPr>
          <w:sz w:val="28"/>
          <w:szCs w:val="28"/>
        </w:rPr>
        <w:t xml:space="preserve">, comma 1, del D.Lgs. n. </w:t>
      </w:r>
      <w:r w:rsidR="00953CC7">
        <w:rPr>
          <w:sz w:val="28"/>
          <w:szCs w:val="28"/>
        </w:rPr>
        <w:t>36</w:t>
      </w:r>
      <w:r w:rsidRPr="00A953F9">
        <w:rPr>
          <w:sz w:val="28"/>
          <w:szCs w:val="28"/>
        </w:rPr>
        <w:t>/20</w:t>
      </w:r>
      <w:r w:rsidR="00953CC7">
        <w:rPr>
          <w:sz w:val="28"/>
          <w:szCs w:val="28"/>
        </w:rPr>
        <w:t>23</w:t>
      </w:r>
      <w:r w:rsidRPr="00A953F9">
        <w:rPr>
          <w:sz w:val="28"/>
          <w:szCs w:val="28"/>
        </w:rPr>
        <w:t xml:space="preserve"> si considera che il concessionario assuma il rischio operativo nel caso in cui, in condizioni operative normali, non sia garantito il recupero degli investimenti effettuati o dei costi sostenuti per la gestione dei servizi oggetto di concessione. La parte del rischio trasferita al concessionario deve comportare una reale esposizione alle fluttuazioni del mercato tale per cui ogni potenziale perdita stimata subita dal concessionario</w:t>
      </w:r>
      <w:r w:rsidRPr="00A953F9">
        <w:rPr>
          <w:spacing w:val="40"/>
          <w:sz w:val="28"/>
          <w:szCs w:val="28"/>
        </w:rPr>
        <w:t xml:space="preserve"> </w:t>
      </w:r>
      <w:r w:rsidRPr="00A953F9">
        <w:rPr>
          <w:sz w:val="28"/>
          <w:szCs w:val="28"/>
        </w:rPr>
        <w:t>non sia puramente nominale o trascurabile.</w:t>
      </w:r>
    </w:p>
    <w:p w14:paraId="313E6378" w14:textId="7AAEB04E" w:rsidR="00176D3B" w:rsidRDefault="009F0B7B">
      <w:pPr>
        <w:pStyle w:val="Corpotesto"/>
        <w:spacing w:before="3"/>
        <w:ind w:left="643" w:right="119"/>
        <w:rPr>
          <w:sz w:val="28"/>
          <w:szCs w:val="28"/>
        </w:rPr>
      </w:pPr>
      <w:r>
        <w:rPr>
          <w:sz w:val="28"/>
          <w:szCs w:val="28"/>
        </w:rPr>
        <w:t>In baser al Codice dei contatti “l</w:t>
      </w:r>
      <w:r w:rsidR="00176D3B" w:rsidRPr="00176D3B">
        <w:rPr>
          <w:sz w:val="28"/>
          <w:szCs w:val="28"/>
        </w:rPr>
        <w:t>’aggiudicazione di una concessione comporta il trasferimento al concessionario di un rischio operativo legato alla realizzazione dei lavori o alla gestione dei servizi e comprende un rischio dal lato della domanda dal lato dell’offerta o da entrambi. Per rischio dal lato della domanda si intende il rischio associato alla domanda effettiva di lavori o servizi che sono oggetto del contratto. Per rischio dal lato dell’offerta si intende il rischio associato all’offerta dei lavori o servizi che sono oggetto del contratto, in particolare il rischio che la fornitura di servizi non corrisponda al livello qualitativo e quantitativo dedotto in contratto</w:t>
      </w:r>
      <w:r>
        <w:rPr>
          <w:sz w:val="28"/>
          <w:szCs w:val="28"/>
        </w:rPr>
        <w:t>”.</w:t>
      </w:r>
    </w:p>
    <w:p w14:paraId="0C21C8A8" w14:textId="77777777" w:rsidR="00176D3B" w:rsidRPr="00A953F9" w:rsidRDefault="00176D3B">
      <w:pPr>
        <w:pStyle w:val="Corpotesto"/>
        <w:spacing w:before="3"/>
        <w:ind w:left="643" w:right="119"/>
        <w:rPr>
          <w:sz w:val="28"/>
          <w:szCs w:val="28"/>
        </w:rPr>
      </w:pPr>
    </w:p>
    <w:p w14:paraId="1CD483B4" w14:textId="77777777" w:rsidR="008E31D4" w:rsidRPr="00A953F9" w:rsidRDefault="00A7023F">
      <w:pPr>
        <w:pStyle w:val="Corpotesto"/>
        <w:spacing w:before="10"/>
        <w:ind w:left="643" w:right="138"/>
        <w:rPr>
          <w:sz w:val="28"/>
          <w:szCs w:val="28"/>
        </w:rPr>
      </w:pPr>
      <w:r w:rsidRPr="00A953F9">
        <w:rPr>
          <w:sz w:val="28"/>
          <w:szCs w:val="28"/>
        </w:rPr>
        <w:t xml:space="preserve">Il rischio operativo a cui il privato concessionario viene ad essere esposto ha, nel nostro caso, una natura economica per i potenziali riflessi sulla sostenibilità del piano economico finanziario (PEF) associato al contratto di concessione (genus europeo) che nel nostro caso riguarda il lato della </w:t>
      </w:r>
      <w:r w:rsidRPr="00A953F9">
        <w:rPr>
          <w:spacing w:val="-2"/>
          <w:sz w:val="28"/>
          <w:szCs w:val="28"/>
        </w:rPr>
        <w:t>domanda.</w:t>
      </w:r>
    </w:p>
    <w:p w14:paraId="3890DD09" w14:textId="77777777" w:rsidR="009F0B7B" w:rsidRDefault="009F0B7B">
      <w:pPr>
        <w:pStyle w:val="Corpotesto"/>
        <w:spacing w:before="7"/>
        <w:ind w:left="643" w:right="125"/>
        <w:rPr>
          <w:sz w:val="28"/>
          <w:szCs w:val="28"/>
        </w:rPr>
      </w:pPr>
    </w:p>
    <w:p w14:paraId="1CD483B5" w14:textId="1AAEA230" w:rsidR="008E31D4" w:rsidRPr="00A953F9" w:rsidRDefault="00A7023F">
      <w:pPr>
        <w:pStyle w:val="Corpotesto"/>
        <w:spacing w:before="7"/>
        <w:ind w:left="643" w:right="125"/>
        <w:rPr>
          <w:sz w:val="28"/>
          <w:szCs w:val="28"/>
        </w:rPr>
      </w:pPr>
      <w:r w:rsidRPr="00A953F9">
        <w:rPr>
          <w:sz w:val="28"/>
          <w:szCs w:val="28"/>
        </w:rPr>
        <w:t>In genere il rischio di domanda consiste nel fatto che la fruizione di quel servizio possa avere un</w:t>
      </w:r>
      <w:r w:rsidRPr="00A953F9">
        <w:rPr>
          <w:spacing w:val="40"/>
          <w:sz w:val="28"/>
          <w:szCs w:val="28"/>
        </w:rPr>
        <w:t xml:space="preserve"> </w:t>
      </w:r>
      <w:r w:rsidRPr="00A953F9">
        <w:rPr>
          <w:sz w:val="28"/>
          <w:szCs w:val="28"/>
        </w:rPr>
        <w:t xml:space="preserve">calo per l’insorgere nel mercato di un’offerta competitiva di altri operatori, come per mancanza di “appeal” della gestione del concessionario, oltreché a fattori del tutto esogeni come quello di una contrazione dei consumi generata da una crisi economica. Il Codice definisce come “rischio di domanda il rischio legato ai diversi volumi di domanda del servizio che il concessionario deve soddisfare, ovvero il rischio legato alla mancanza di utenza e quindi di flussi di </w:t>
      </w:r>
      <w:r w:rsidRPr="00A953F9">
        <w:rPr>
          <w:spacing w:val="-2"/>
          <w:sz w:val="28"/>
          <w:szCs w:val="28"/>
        </w:rPr>
        <w:t>cassa.</w:t>
      </w:r>
    </w:p>
    <w:p w14:paraId="49957CA6" w14:textId="77777777" w:rsidR="009F0B7B" w:rsidRDefault="009F0B7B">
      <w:pPr>
        <w:pStyle w:val="Corpotesto"/>
        <w:spacing w:before="12"/>
        <w:ind w:left="643" w:right="118"/>
        <w:rPr>
          <w:sz w:val="28"/>
          <w:szCs w:val="28"/>
        </w:rPr>
      </w:pPr>
    </w:p>
    <w:p w14:paraId="1CD483B6" w14:textId="287C74B1" w:rsidR="008E31D4" w:rsidRPr="00A953F9" w:rsidRDefault="00A7023F">
      <w:pPr>
        <w:pStyle w:val="Corpotesto"/>
        <w:spacing w:before="12"/>
        <w:ind w:left="643" w:right="118"/>
        <w:rPr>
          <w:sz w:val="28"/>
          <w:szCs w:val="28"/>
        </w:rPr>
      </w:pPr>
      <w:r w:rsidRPr="00A953F9">
        <w:rPr>
          <w:sz w:val="28"/>
          <w:szCs w:val="28"/>
        </w:rPr>
        <w:t>Questa fattispecie si rileva nella concessione dell’attività di riscossione coattiva delle entrate (tributarie e non) in quanto è difficile stimare con esattezza quale sarà nel medio o breve periodo la propensione dei debitori a pagare spontaneamente, a seguito di procedura coattiva o addirittura a</w:t>
      </w:r>
      <w:r w:rsidRPr="00A953F9">
        <w:rPr>
          <w:spacing w:val="80"/>
          <w:sz w:val="28"/>
          <w:szCs w:val="28"/>
        </w:rPr>
        <w:t xml:space="preserve"> </w:t>
      </w:r>
      <w:r w:rsidRPr="00A953F9">
        <w:rPr>
          <w:sz w:val="28"/>
          <w:szCs w:val="28"/>
        </w:rPr>
        <w:t>non pagare quanto richiesto (insolvenza) e contestualmente prevedere la tempistica del ristoro dei costi sostenuti.</w:t>
      </w:r>
    </w:p>
    <w:p w14:paraId="36228413" w14:textId="77777777" w:rsidR="009F0B7B" w:rsidRDefault="009F0B7B">
      <w:pPr>
        <w:pStyle w:val="Corpotesto"/>
        <w:spacing w:before="8"/>
        <w:ind w:left="643" w:right="136"/>
        <w:rPr>
          <w:sz w:val="28"/>
          <w:szCs w:val="28"/>
        </w:rPr>
      </w:pPr>
    </w:p>
    <w:p w14:paraId="1CD483B7" w14:textId="06DBB7B0" w:rsidR="008E31D4" w:rsidRPr="00A953F9" w:rsidRDefault="00A7023F">
      <w:pPr>
        <w:pStyle w:val="Corpotesto"/>
        <w:spacing w:before="8"/>
        <w:ind w:left="643" w:right="136"/>
        <w:rPr>
          <w:sz w:val="28"/>
          <w:szCs w:val="28"/>
        </w:rPr>
      </w:pPr>
      <w:r w:rsidRPr="00A953F9">
        <w:rPr>
          <w:sz w:val="28"/>
          <w:szCs w:val="28"/>
        </w:rPr>
        <w:t xml:space="preserve">Ci possono essere poi altri rischi legati a fattori esogeni all’attività svolta quali il </w:t>
      </w:r>
      <w:r w:rsidRPr="00A953F9">
        <w:rPr>
          <w:sz w:val="28"/>
          <w:szCs w:val="28"/>
        </w:rPr>
        <w:lastRenderedPageBreak/>
        <w:t>rischio normativo politico regolamentare e il rischio di soccombenza nel contenzioso.</w:t>
      </w:r>
    </w:p>
    <w:p w14:paraId="1CD483B8" w14:textId="77777777" w:rsidR="008E31D4" w:rsidRPr="00A953F9" w:rsidRDefault="00A7023F">
      <w:pPr>
        <w:pStyle w:val="Corpotesto"/>
        <w:spacing w:before="3"/>
        <w:ind w:left="643" w:right="125"/>
        <w:rPr>
          <w:sz w:val="28"/>
          <w:szCs w:val="28"/>
        </w:rPr>
      </w:pPr>
      <w:r w:rsidRPr="00A953F9">
        <w:rPr>
          <w:sz w:val="28"/>
          <w:szCs w:val="28"/>
        </w:rPr>
        <w:t xml:space="preserve">La facilità con cui cambiano le normative soprattutto in materia di tributi, fa si che la legge possa disporre un cambiamento in divenire che non sempre può essere a carico esclusivo della parte </w:t>
      </w:r>
      <w:r w:rsidRPr="00A953F9">
        <w:rPr>
          <w:spacing w:val="-2"/>
          <w:sz w:val="28"/>
          <w:szCs w:val="28"/>
        </w:rPr>
        <w:t>concessionaria.</w:t>
      </w:r>
    </w:p>
    <w:p w14:paraId="1CD483B9" w14:textId="77777777" w:rsidR="008E31D4" w:rsidRPr="00A953F9" w:rsidRDefault="008E31D4">
      <w:pPr>
        <w:pStyle w:val="Corpotesto"/>
        <w:jc w:val="left"/>
        <w:rPr>
          <w:sz w:val="28"/>
          <w:szCs w:val="28"/>
        </w:rPr>
      </w:pPr>
    </w:p>
    <w:p w14:paraId="1CD483BA" w14:textId="77777777" w:rsidR="008E31D4" w:rsidRPr="00A953F9" w:rsidRDefault="008E31D4">
      <w:pPr>
        <w:pStyle w:val="Corpotesto"/>
        <w:spacing w:before="211"/>
        <w:jc w:val="left"/>
        <w:rPr>
          <w:sz w:val="28"/>
          <w:szCs w:val="28"/>
        </w:rPr>
      </w:pPr>
    </w:p>
    <w:p w14:paraId="1CD483BB" w14:textId="77777777" w:rsidR="008E31D4" w:rsidRPr="00A953F9" w:rsidRDefault="00A7023F">
      <w:pPr>
        <w:pStyle w:val="Corpotesto"/>
        <w:ind w:left="643" w:right="121"/>
        <w:rPr>
          <w:sz w:val="28"/>
          <w:szCs w:val="28"/>
        </w:rPr>
      </w:pPr>
      <w:r w:rsidRPr="00A953F9">
        <w:rPr>
          <w:sz w:val="28"/>
          <w:szCs w:val="28"/>
        </w:rPr>
        <w:t xml:space="preserve">Il tema dell’aggio merita una considerazione a parte. La forbice all’interno della quale ci muoviamo è abbastanza ampia e diventa estremamente difficile stabilire un aggio di riferimento che sia remunerativo per il concessionario. </w:t>
      </w:r>
      <w:proofErr w:type="gramStart"/>
      <w:r w:rsidRPr="00A953F9">
        <w:rPr>
          <w:sz w:val="28"/>
          <w:szCs w:val="28"/>
        </w:rPr>
        <w:t>E’</w:t>
      </w:r>
      <w:proofErr w:type="gramEnd"/>
      <w:r w:rsidRPr="00A953F9">
        <w:rPr>
          <w:sz w:val="28"/>
          <w:szCs w:val="28"/>
        </w:rPr>
        <w:t xml:space="preserve"> ovvio che un operatore economico che</w:t>
      </w:r>
      <w:r w:rsidRPr="00A953F9">
        <w:rPr>
          <w:spacing w:val="40"/>
          <w:sz w:val="28"/>
          <w:szCs w:val="28"/>
        </w:rPr>
        <w:t xml:space="preserve"> </w:t>
      </w:r>
      <w:r w:rsidRPr="00A953F9">
        <w:rPr>
          <w:sz w:val="28"/>
          <w:szCs w:val="28"/>
        </w:rPr>
        <w:t>svolge</w:t>
      </w:r>
      <w:r w:rsidRPr="00A953F9">
        <w:rPr>
          <w:spacing w:val="80"/>
          <w:sz w:val="28"/>
          <w:szCs w:val="28"/>
        </w:rPr>
        <w:t xml:space="preserve"> </w:t>
      </w:r>
      <w:r w:rsidRPr="00A953F9">
        <w:rPr>
          <w:sz w:val="28"/>
          <w:szCs w:val="28"/>
        </w:rPr>
        <w:t>esclusivamente il servizio di riscossione coattiva, attraverso il perseguimento di adeguate economie di scala, riesca ad abbattere notevolmente i costi del personale (che sono quelli preponderanti) e quelli dei software necessari, offrendo condizioni concorrenziali che si ripercuotono conseguentemente sulla misura dell’aggio che sono in grado di offrire ponendosi sul mercato a condizioni vantaggiose.</w:t>
      </w:r>
    </w:p>
    <w:p w14:paraId="1CD483BC" w14:textId="645B9007" w:rsidR="008E31D4" w:rsidRPr="00A953F9" w:rsidRDefault="00A7023F">
      <w:pPr>
        <w:pStyle w:val="Corpotesto"/>
        <w:spacing w:before="218"/>
        <w:ind w:left="643" w:right="153"/>
        <w:rPr>
          <w:sz w:val="28"/>
          <w:szCs w:val="28"/>
        </w:rPr>
      </w:pPr>
      <w:r w:rsidRPr="00A953F9">
        <w:rPr>
          <w:sz w:val="28"/>
          <w:szCs w:val="28"/>
        </w:rPr>
        <w:t xml:space="preserve">L’attività di riscossione coattiva verrà svolta in tutto il territorio nazionale e comunque in base alla residenza del debitore, </w:t>
      </w:r>
      <w:r w:rsidR="007853E8">
        <w:rPr>
          <w:sz w:val="28"/>
          <w:szCs w:val="28"/>
        </w:rPr>
        <w:t>compresa in questo ambito l’attivita’ da remoto o sportello virtuale.</w:t>
      </w:r>
    </w:p>
    <w:p w14:paraId="1CD483BD" w14:textId="77777777" w:rsidR="008E31D4" w:rsidRPr="00A953F9" w:rsidRDefault="008E31D4">
      <w:pPr>
        <w:pStyle w:val="Corpotesto"/>
        <w:spacing w:before="205"/>
        <w:jc w:val="left"/>
        <w:rPr>
          <w:sz w:val="28"/>
          <w:szCs w:val="28"/>
        </w:rPr>
      </w:pPr>
    </w:p>
    <w:p w14:paraId="1CD483C0" w14:textId="1BBFF84C" w:rsidR="008E31D4" w:rsidRPr="00A953F9" w:rsidRDefault="00A7023F" w:rsidP="007853E8">
      <w:pPr>
        <w:pStyle w:val="Corpotesto"/>
        <w:ind w:left="643" w:right="157"/>
        <w:rPr>
          <w:sz w:val="28"/>
          <w:szCs w:val="28"/>
        </w:rPr>
      </w:pPr>
      <w:r w:rsidRPr="00A953F9">
        <w:rPr>
          <w:sz w:val="28"/>
          <w:szCs w:val="28"/>
        </w:rPr>
        <w:t>L’importo complessivo stimato della concessione, ai sensi del</w:t>
      </w:r>
      <w:r w:rsidR="00A91D3E" w:rsidRPr="00A953F9">
        <w:rPr>
          <w:sz w:val="28"/>
          <w:szCs w:val="28"/>
        </w:rPr>
        <w:t xml:space="preserve"> </w:t>
      </w:r>
      <w:r w:rsidR="00344F0E" w:rsidRPr="00A953F9">
        <w:rPr>
          <w:sz w:val="28"/>
          <w:szCs w:val="28"/>
        </w:rPr>
        <w:t>C</w:t>
      </w:r>
      <w:r w:rsidR="00A91D3E" w:rsidRPr="00A953F9">
        <w:rPr>
          <w:sz w:val="28"/>
          <w:szCs w:val="28"/>
        </w:rPr>
        <w:t>odice</w:t>
      </w:r>
      <w:r w:rsidR="00344F0E" w:rsidRPr="00A953F9">
        <w:rPr>
          <w:sz w:val="28"/>
          <w:szCs w:val="28"/>
        </w:rPr>
        <w:t>,</w:t>
      </w:r>
      <w:r w:rsidRPr="00A953F9">
        <w:rPr>
          <w:spacing w:val="11"/>
          <w:sz w:val="28"/>
          <w:szCs w:val="28"/>
        </w:rPr>
        <w:t xml:space="preserve"> </w:t>
      </w:r>
      <w:r w:rsidRPr="00A953F9">
        <w:rPr>
          <w:sz w:val="28"/>
          <w:szCs w:val="28"/>
        </w:rPr>
        <w:t>quale</w:t>
      </w:r>
      <w:r w:rsidRPr="00A953F9">
        <w:rPr>
          <w:spacing w:val="7"/>
          <w:sz w:val="28"/>
          <w:szCs w:val="28"/>
        </w:rPr>
        <w:t xml:space="preserve"> </w:t>
      </w:r>
      <w:r w:rsidRPr="00A953F9">
        <w:rPr>
          <w:sz w:val="28"/>
          <w:szCs w:val="28"/>
        </w:rPr>
        <w:t>compenso</w:t>
      </w:r>
      <w:r w:rsidRPr="00A953F9">
        <w:rPr>
          <w:spacing w:val="9"/>
          <w:sz w:val="28"/>
          <w:szCs w:val="28"/>
        </w:rPr>
        <w:t xml:space="preserve"> </w:t>
      </w:r>
      <w:r w:rsidRPr="00A953F9">
        <w:rPr>
          <w:sz w:val="28"/>
          <w:szCs w:val="28"/>
        </w:rPr>
        <w:t>da</w:t>
      </w:r>
      <w:r w:rsidRPr="00A953F9">
        <w:rPr>
          <w:spacing w:val="7"/>
          <w:sz w:val="28"/>
          <w:szCs w:val="28"/>
        </w:rPr>
        <w:t xml:space="preserve"> </w:t>
      </w:r>
      <w:r w:rsidRPr="00A953F9">
        <w:rPr>
          <w:sz w:val="28"/>
          <w:szCs w:val="28"/>
        </w:rPr>
        <w:t>erogarsi</w:t>
      </w:r>
      <w:r w:rsidRPr="00A953F9">
        <w:rPr>
          <w:spacing w:val="8"/>
          <w:sz w:val="28"/>
          <w:szCs w:val="28"/>
        </w:rPr>
        <w:t xml:space="preserve"> </w:t>
      </w:r>
      <w:r w:rsidRPr="00A953F9">
        <w:rPr>
          <w:spacing w:val="-5"/>
          <w:sz w:val="28"/>
          <w:szCs w:val="28"/>
        </w:rPr>
        <w:t>al</w:t>
      </w:r>
      <w:r w:rsidR="007853E8">
        <w:rPr>
          <w:sz w:val="28"/>
          <w:szCs w:val="28"/>
        </w:rPr>
        <w:t xml:space="preserve"> </w:t>
      </w:r>
      <w:r w:rsidRPr="00A953F9">
        <w:rPr>
          <w:sz w:val="28"/>
          <w:szCs w:val="28"/>
        </w:rPr>
        <w:t>Concessionario, include il rimborso delle eventuali spese sostenute per le attività cautelari ed esecutive sulle partite riscosse denominate “spese di notifica ed esecutive”</w:t>
      </w:r>
      <w:r w:rsidR="00A91D3E" w:rsidRPr="00A953F9">
        <w:rPr>
          <w:sz w:val="28"/>
          <w:szCs w:val="28"/>
        </w:rPr>
        <w:t>.</w:t>
      </w:r>
    </w:p>
    <w:p w14:paraId="1CD483C1" w14:textId="77777777" w:rsidR="008E31D4" w:rsidRPr="00A953F9" w:rsidRDefault="008E31D4">
      <w:pPr>
        <w:pStyle w:val="Corpotesto"/>
        <w:spacing w:before="6"/>
        <w:jc w:val="left"/>
        <w:rPr>
          <w:sz w:val="28"/>
          <w:szCs w:val="28"/>
        </w:rPr>
      </w:pPr>
    </w:p>
    <w:p w14:paraId="1CD483D0" w14:textId="5697C1A8" w:rsidR="008E31D4" w:rsidRDefault="00A7023F">
      <w:pPr>
        <w:pStyle w:val="Corpotesto"/>
        <w:ind w:left="643" w:right="124"/>
        <w:rPr>
          <w:sz w:val="28"/>
          <w:szCs w:val="28"/>
        </w:rPr>
      </w:pPr>
      <w:r w:rsidRPr="00A953F9">
        <w:rPr>
          <w:sz w:val="28"/>
          <w:szCs w:val="28"/>
        </w:rPr>
        <w:t xml:space="preserve">Si precisa </w:t>
      </w:r>
      <w:r w:rsidR="00344F0E" w:rsidRPr="00A953F9">
        <w:rPr>
          <w:sz w:val="28"/>
          <w:szCs w:val="28"/>
        </w:rPr>
        <w:t xml:space="preserve">infine </w:t>
      </w:r>
      <w:r w:rsidRPr="00A953F9">
        <w:rPr>
          <w:sz w:val="28"/>
          <w:szCs w:val="28"/>
        </w:rPr>
        <w:t>che il D.U.V.R.I. (Documento Unico dei Rischi di Interferenza) non è necessario in</w:t>
      </w:r>
      <w:r w:rsidRPr="00A953F9">
        <w:rPr>
          <w:spacing w:val="40"/>
          <w:sz w:val="28"/>
          <w:szCs w:val="28"/>
        </w:rPr>
        <w:t xml:space="preserve"> </w:t>
      </w:r>
      <w:r w:rsidRPr="00A953F9">
        <w:rPr>
          <w:sz w:val="28"/>
          <w:szCs w:val="28"/>
        </w:rPr>
        <w:t>quanto non si ravvisano rischi di interferenza tra il personale del committente e quello del concessionario</w:t>
      </w:r>
      <w:r w:rsidR="00344F0E" w:rsidRPr="00A953F9">
        <w:rPr>
          <w:sz w:val="28"/>
          <w:szCs w:val="28"/>
        </w:rPr>
        <w:t>.</w:t>
      </w:r>
    </w:p>
    <w:p w14:paraId="143137F7" w14:textId="77777777" w:rsidR="007853E8" w:rsidRPr="00A953F9" w:rsidRDefault="007853E8">
      <w:pPr>
        <w:pStyle w:val="Corpotesto"/>
        <w:ind w:left="643" w:right="124"/>
        <w:rPr>
          <w:sz w:val="28"/>
          <w:szCs w:val="28"/>
        </w:rPr>
      </w:pPr>
    </w:p>
    <w:p w14:paraId="1CD483D1" w14:textId="3774FFC9" w:rsidR="008E31D4" w:rsidRDefault="00A7023F">
      <w:pPr>
        <w:pStyle w:val="Corpotesto"/>
        <w:spacing w:before="5"/>
        <w:ind w:left="643" w:right="120"/>
        <w:rPr>
          <w:sz w:val="28"/>
          <w:szCs w:val="28"/>
        </w:rPr>
      </w:pPr>
      <w:r w:rsidRPr="00A953F9">
        <w:rPr>
          <w:sz w:val="28"/>
          <w:szCs w:val="28"/>
        </w:rPr>
        <w:t>L’operatore economico dovrà presentare a corredo dell’offerta economica il proprio Piano Economico Finanziario, sottoscritto dal legale rappresentante e da un professionista iscritto all’ordine dei “Dottori Commercialisti e degli Esperti Contabili” da cui si dovrà evincere la sostenibilità e la coerenza con l’offerta presentata</w:t>
      </w:r>
      <w:r w:rsidR="000A4B08">
        <w:rPr>
          <w:sz w:val="28"/>
          <w:szCs w:val="28"/>
        </w:rPr>
        <w:t xml:space="preserve"> o da istituto bancario.</w:t>
      </w:r>
    </w:p>
    <w:p w14:paraId="19422DC3" w14:textId="77777777" w:rsidR="007853E8" w:rsidRPr="00A953F9" w:rsidRDefault="007853E8">
      <w:pPr>
        <w:pStyle w:val="Corpotesto"/>
        <w:spacing w:before="5"/>
        <w:ind w:left="643" w:right="120"/>
        <w:rPr>
          <w:sz w:val="28"/>
          <w:szCs w:val="28"/>
        </w:rPr>
      </w:pPr>
    </w:p>
    <w:p w14:paraId="1CD483D2" w14:textId="1E8590C6" w:rsidR="008E31D4" w:rsidRPr="00A953F9" w:rsidRDefault="00A7023F">
      <w:pPr>
        <w:pStyle w:val="Corpotesto"/>
        <w:spacing w:before="7"/>
        <w:ind w:left="643" w:right="119"/>
        <w:rPr>
          <w:sz w:val="28"/>
          <w:szCs w:val="28"/>
        </w:rPr>
      </w:pPr>
      <w:r w:rsidRPr="00A953F9">
        <w:rPr>
          <w:sz w:val="28"/>
          <w:szCs w:val="28"/>
        </w:rPr>
        <w:t>Il piano economico finanziario dell’operatore economico dovrà contenere nell’offerta economica anche i propri costi aziendali concernenti l’adempimento delle disposizioni</w:t>
      </w:r>
      <w:r w:rsidR="000A4B08">
        <w:rPr>
          <w:sz w:val="28"/>
          <w:szCs w:val="28"/>
        </w:rPr>
        <w:t>.</w:t>
      </w:r>
    </w:p>
    <w:sectPr w:rsidR="008E31D4" w:rsidRPr="00A953F9" w:rsidSect="00344F0E">
      <w:footerReference w:type="default" r:id="rId7"/>
      <w:pgSz w:w="11900" w:h="16840"/>
      <w:pgMar w:top="1920" w:right="1275" w:bottom="880" w:left="566" w:header="0" w:footer="6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DEB1D" w14:textId="77777777" w:rsidR="007E5022" w:rsidRDefault="007E5022">
      <w:r>
        <w:separator/>
      </w:r>
    </w:p>
  </w:endnote>
  <w:endnote w:type="continuationSeparator" w:id="0">
    <w:p w14:paraId="2AC2E7B3" w14:textId="77777777" w:rsidR="007E5022" w:rsidRDefault="007E5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5115429"/>
      <w:docPartObj>
        <w:docPartGallery w:val="Page Numbers (Bottom of Page)"/>
        <w:docPartUnique/>
      </w:docPartObj>
    </w:sdtPr>
    <w:sdtContent>
      <w:p w14:paraId="12F8D353" w14:textId="10C2A0B9" w:rsidR="002E0541" w:rsidRDefault="002E0541">
        <w:pPr>
          <w:pStyle w:val="Pidipagina"/>
          <w:jc w:val="center"/>
        </w:pPr>
        <w:r>
          <w:fldChar w:fldCharType="begin"/>
        </w:r>
        <w:r>
          <w:instrText>PAGE   \* MERGEFORMAT</w:instrText>
        </w:r>
        <w:r>
          <w:fldChar w:fldCharType="separate"/>
        </w:r>
        <w:r>
          <w:t>2</w:t>
        </w:r>
        <w:r>
          <w:fldChar w:fldCharType="end"/>
        </w:r>
      </w:p>
    </w:sdtContent>
  </w:sdt>
  <w:p w14:paraId="1CD48400" w14:textId="7F810063" w:rsidR="008E31D4" w:rsidRDefault="008E31D4">
    <w:pPr>
      <w:pStyle w:val="Corpotesto"/>
      <w:spacing w:line="14" w:lineRule="auto"/>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6E1F9" w14:textId="77777777" w:rsidR="007E5022" w:rsidRDefault="007E5022">
      <w:r>
        <w:separator/>
      </w:r>
    </w:p>
  </w:footnote>
  <w:footnote w:type="continuationSeparator" w:id="0">
    <w:p w14:paraId="429E6A2C" w14:textId="77777777" w:rsidR="007E5022" w:rsidRDefault="007E50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E2EEC"/>
    <w:multiLevelType w:val="hybridMultilevel"/>
    <w:tmpl w:val="BE92711E"/>
    <w:lvl w:ilvl="0" w:tplc="0658C23A">
      <w:start w:val="1"/>
      <w:numFmt w:val="decimal"/>
      <w:lvlText w:val="%1."/>
      <w:lvlJc w:val="left"/>
      <w:pPr>
        <w:ind w:left="990" w:hanging="348"/>
        <w:jc w:val="left"/>
      </w:pPr>
      <w:rPr>
        <w:rFonts w:ascii="Times New Roman" w:eastAsia="Times New Roman" w:hAnsi="Times New Roman" w:cs="Times New Roman" w:hint="default"/>
        <w:b w:val="0"/>
        <w:bCs w:val="0"/>
        <w:i w:val="0"/>
        <w:iCs w:val="0"/>
        <w:spacing w:val="0"/>
        <w:w w:val="100"/>
        <w:sz w:val="23"/>
        <w:szCs w:val="23"/>
        <w:lang w:val="it-IT" w:eastAsia="en-US" w:bidi="ar-SA"/>
      </w:rPr>
    </w:lvl>
    <w:lvl w:ilvl="1" w:tplc="CFD4767A">
      <w:numFmt w:val="bullet"/>
      <w:lvlText w:val="•"/>
      <w:lvlJc w:val="left"/>
      <w:pPr>
        <w:ind w:left="1905" w:hanging="348"/>
      </w:pPr>
      <w:rPr>
        <w:rFonts w:hint="default"/>
        <w:lang w:val="it-IT" w:eastAsia="en-US" w:bidi="ar-SA"/>
      </w:rPr>
    </w:lvl>
    <w:lvl w:ilvl="2" w:tplc="924CD24A">
      <w:numFmt w:val="bullet"/>
      <w:lvlText w:val="•"/>
      <w:lvlJc w:val="left"/>
      <w:pPr>
        <w:ind w:left="2811" w:hanging="348"/>
      </w:pPr>
      <w:rPr>
        <w:rFonts w:hint="default"/>
        <w:lang w:val="it-IT" w:eastAsia="en-US" w:bidi="ar-SA"/>
      </w:rPr>
    </w:lvl>
    <w:lvl w:ilvl="3" w:tplc="11D45566">
      <w:numFmt w:val="bullet"/>
      <w:lvlText w:val="•"/>
      <w:lvlJc w:val="left"/>
      <w:pPr>
        <w:ind w:left="3717" w:hanging="348"/>
      </w:pPr>
      <w:rPr>
        <w:rFonts w:hint="default"/>
        <w:lang w:val="it-IT" w:eastAsia="en-US" w:bidi="ar-SA"/>
      </w:rPr>
    </w:lvl>
    <w:lvl w:ilvl="4" w:tplc="C3680D3C">
      <w:numFmt w:val="bullet"/>
      <w:lvlText w:val="•"/>
      <w:lvlJc w:val="left"/>
      <w:pPr>
        <w:ind w:left="4623" w:hanging="348"/>
      </w:pPr>
      <w:rPr>
        <w:rFonts w:hint="default"/>
        <w:lang w:val="it-IT" w:eastAsia="en-US" w:bidi="ar-SA"/>
      </w:rPr>
    </w:lvl>
    <w:lvl w:ilvl="5" w:tplc="FA624E14">
      <w:numFmt w:val="bullet"/>
      <w:lvlText w:val="•"/>
      <w:lvlJc w:val="left"/>
      <w:pPr>
        <w:ind w:left="5529" w:hanging="348"/>
      </w:pPr>
      <w:rPr>
        <w:rFonts w:hint="default"/>
        <w:lang w:val="it-IT" w:eastAsia="en-US" w:bidi="ar-SA"/>
      </w:rPr>
    </w:lvl>
    <w:lvl w:ilvl="6" w:tplc="D156760A">
      <w:numFmt w:val="bullet"/>
      <w:lvlText w:val="•"/>
      <w:lvlJc w:val="left"/>
      <w:pPr>
        <w:ind w:left="6435" w:hanging="348"/>
      </w:pPr>
      <w:rPr>
        <w:rFonts w:hint="default"/>
        <w:lang w:val="it-IT" w:eastAsia="en-US" w:bidi="ar-SA"/>
      </w:rPr>
    </w:lvl>
    <w:lvl w:ilvl="7" w:tplc="C0B2FC9E">
      <w:numFmt w:val="bullet"/>
      <w:lvlText w:val="•"/>
      <w:lvlJc w:val="left"/>
      <w:pPr>
        <w:ind w:left="7341" w:hanging="348"/>
      </w:pPr>
      <w:rPr>
        <w:rFonts w:hint="default"/>
        <w:lang w:val="it-IT" w:eastAsia="en-US" w:bidi="ar-SA"/>
      </w:rPr>
    </w:lvl>
    <w:lvl w:ilvl="8" w:tplc="F4DC5D50">
      <w:numFmt w:val="bullet"/>
      <w:lvlText w:val="•"/>
      <w:lvlJc w:val="left"/>
      <w:pPr>
        <w:ind w:left="8247" w:hanging="348"/>
      </w:pPr>
      <w:rPr>
        <w:rFonts w:hint="default"/>
        <w:lang w:val="it-IT" w:eastAsia="en-US" w:bidi="ar-SA"/>
      </w:rPr>
    </w:lvl>
  </w:abstractNum>
  <w:abstractNum w:abstractNumId="1" w15:restartNumberingAfterBreak="0">
    <w:nsid w:val="1FC8686E"/>
    <w:multiLevelType w:val="hybridMultilevel"/>
    <w:tmpl w:val="083680C2"/>
    <w:lvl w:ilvl="0" w:tplc="0B924002">
      <w:start w:val="1"/>
      <w:numFmt w:val="decimal"/>
      <w:lvlText w:val="%1."/>
      <w:lvlJc w:val="left"/>
      <w:pPr>
        <w:ind w:left="990" w:hanging="236"/>
        <w:jc w:val="left"/>
      </w:pPr>
      <w:rPr>
        <w:rFonts w:ascii="Times New Roman" w:eastAsia="Times New Roman" w:hAnsi="Times New Roman" w:cs="Times New Roman" w:hint="default"/>
        <w:b w:val="0"/>
        <w:bCs w:val="0"/>
        <w:i w:val="0"/>
        <w:iCs w:val="0"/>
        <w:spacing w:val="0"/>
        <w:w w:val="100"/>
        <w:sz w:val="23"/>
        <w:szCs w:val="23"/>
        <w:lang w:val="it-IT" w:eastAsia="en-US" w:bidi="ar-SA"/>
      </w:rPr>
    </w:lvl>
    <w:lvl w:ilvl="1" w:tplc="10667FCA">
      <w:numFmt w:val="bullet"/>
      <w:lvlText w:val="•"/>
      <w:lvlJc w:val="left"/>
      <w:pPr>
        <w:ind w:left="1905" w:hanging="236"/>
      </w:pPr>
      <w:rPr>
        <w:rFonts w:hint="default"/>
        <w:lang w:val="it-IT" w:eastAsia="en-US" w:bidi="ar-SA"/>
      </w:rPr>
    </w:lvl>
    <w:lvl w:ilvl="2" w:tplc="CD607A78">
      <w:numFmt w:val="bullet"/>
      <w:lvlText w:val="•"/>
      <w:lvlJc w:val="left"/>
      <w:pPr>
        <w:ind w:left="2811" w:hanging="236"/>
      </w:pPr>
      <w:rPr>
        <w:rFonts w:hint="default"/>
        <w:lang w:val="it-IT" w:eastAsia="en-US" w:bidi="ar-SA"/>
      </w:rPr>
    </w:lvl>
    <w:lvl w:ilvl="3" w:tplc="D72EA2EE">
      <w:numFmt w:val="bullet"/>
      <w:lvlText w:val="•"/>
      <w:lvlJc w:val="left"/>
      <w:pPr>
        <w:ind w:left="3717" w:hanging="236"/>
      </w:pPr>
      <w:rPr>
        <w:rFonts w:hint="default"/>
        <w:lang w:val="it-IT" w:eastAsia="en-US" w:bidi="ar-SA"/>
      </w:rPr>
    </w:lvl>
    <w:lvl w:ilvl="4" w:tplc="147E6E32">
      <w:numFmt w:val="bullet"/>
      <w:lvlText w:val="•"/>
      <w:lvlJc w:val="left"/>
      <w:pPr>
        <w:ind w:left="4623" w:hanging="236"/>
      </w:pPr>
      <w:rPr>
        <w:rFonts w:hint="default"/>
        <w:lang w:val="it-IT" w:eastAsia="en-US" w:bidi="ar-SA"/>
      </w:rPr>
    </w:lvl>
    <w:lvl w:ilvl="5" w:tplc="E53A613C">
      <w:numFmt w:val="bullet"/>
      <w:lvlText w:val="•"/>
      <w:lvlJc w:val="left"/>
      <w:pPr>
        <w:ind w:left="5529" w:hanging="236"/>
      </w:pPr>
      <w:rPr>
        <w:rFonts w:hint="default"/>
        <w:lang w:val="it-IT" w:eastAsia="en-US" w:bidi="ar-SA"/>
      </w:rPr>
    </w:lvl>
    <w:lvl w:ilvl="6" w:tplc="C7C8C866">
      <w:numFmt w:val="bullet"/>
      <w:lvlText w:val="•"/>
      <w:lvlJc w:val="left"/>
      <w:pPr>
        <w:ind w:left="6435" w:hanging="236"/>
      </w:pPr>
      <w:rPr>
        <w:rFonts w:hint="default"/>
        <w:lang w:val="it-IT" w:eastAsia="en-US" w:bidi="ar-SA"/>
      </w:rPr>
    </w:lvl>
    <w:lvl w:ilvl="7" w:tplc="77B24882">
      <w:numFmt w:val="bullet"/>
      <w:lvlText w:val="•"/>
      <w:lvlJc w:val="left"/>
      <w:pPr>
        <w:ind w:left="7341" w:hanging="236"/>
      </w:pPr>
      <w:rPr>
        <w:rFonts w:hint="default"/>
        <w:lang w:val="it-IT" w:eastAsia="en-US" w:bidi="ar-SA"/>
      </w:rPr>
    </w:lvl>
    <w:lvl w:ilvl="8" w:tplc="2EE80804">
      <w:numFmt w:val="bullet"/>
      <w:lvlText w:val="•"/>
      <w:lvlJc w:val="left"/>
      <w:pPr>
        <w:ind w:left="8247" w:hanging="236"/>
      </w:pPr>
      <w:rPr>
        <w:rFonts w:hint="default"/>
        <w:lang w:val="it-IT" w:eastAsia="en-US" w:bidi="ar-SA"/>
      </w:rPr>
    </w:lvl>
  </w:abstractNum>
  <w:abstractNum w:abstractNumId="2" w15:restartNumberingAfterBreak="0">
    <w:nsid w:val="2DE5549B"/>
    <w:multiLevelType w:val="hybridMultilevel"/>
    <w:tmpl w:val="25F458CE"/>
    <w:lvl w:ilvl="0" w:tplc="4B52D5B2">
      <w:start w:val="1"/>
      <w:numFmt w:val="lowerLetter"/>
      <w:lvlText w:val="%1)"/>
      <w:lvlJc w:val="left"/>
      <w:pPr>
        <w:ind w:left="990" w:hanging="348"/>
        <w:jc w:val="left"/>
      </w:pPr>
      <w:rPr>
        <w:rFonts w:ascii="Times New Roman" w:eastAsia="Times New Roman" w:hAnsi="Times New Roman" w:cs="Times New Roman" w:hint="default"/>
        <w:b w:val="0"/>
        <w:bCs w:val="0"/>
        <w:i w:val="0"/>
        <w:iCs w:val="0"/>
        <w:spacing w:val="-3"/>
        <w:w w:val="100"/>
        <w:sz w:val="23"/>
        <w:szCs w:val="23"/>
        <w:lang w:val="it-IT" w:eastAsia="en-US" w:bidi="ar-SA"/>
      </w:rPr>
    </w:lvl>
    <w:lvl w:ilvl="1" w:tplc="9C2815E2">
      <w:numFmt w:val="bullet"/>
      <w:lvlText w:val="•"/>
      <w:lvlJc w:val="left"/>
      <w:pPr>
        <w:ind w:left="1905" w:hanging="348"/>
      </w:pPr>
      <w:rPr>
        <w:rFonts w:hint="default"/>
        <w:lang w:val="it-IT" w:eastAsia="en-US" w:bidi="ar-SA"/>
      </w:rPr>
    </w:lvl>
    <w:lvl w:ilvl="2" w:tplc="D24429A0">
      <w:numFmt w:val="bullet"/>
      <w:lvlText w:val="•"/>
      <w:lvlJc w:val="left"/>
      <w:pPr>
        <w:ind w:left="2811" w:hanging="348"/>
      </w:pPr>
      <w:rPr>
        <w:rFonts w:hint="default"/>
        <w:lang w:val="it-IT" w:eastAsia="en-US" w:bidi="ar-SA"/>
      </w:rPr>
    </w:lvl>
    <w:lvl w:ilvl="3" w:tplc="53EE28EA">
      <w:numFmt w:val="bullet"/>
      <w:lvlText w:val="•"/>
      <w:lvlJc w:val="left"/>
      <w:pPr>
        <w:ind w:left="3717" w:hanging="348"/>
      </w:pPr>
      <w:rPr>
        <w:rFonts w:hint="default"/>
        <w:lang w:val="it-IT" w:eastAsia="en-US" w:bidi="ar-SA"/>
      </w:rPr>
    </w:lvl>
    <w:lvl w:ilvl="4" w:tplc="EDBA86E6">
      <w:numFmt w:val="bullet"/>
      <w:lvlText w:val="•"/>
      <w:lvlJc w:val="left"/>
      <w:pPr>
        <w:ind w:left="4623" w:hanging="348"/>
      </w:pPr>
      <w:rPr>
        <w:rFonts w:hint="default"/>
        <w:lang w:val="it-IT" w:eastAsia="en-US" w:bidi="ar-SA"/>
      </w:rPr>
    </w:lvl>
    <w:lvl w:ilvl="5" w:tplc="87F42DEA">
      <w:numFmt w:val="bullet"/>
      <w:lvlText w:val="•"/>
      <w:lvlJc w:val="left"/>
      <w:pPr>
        <w:ind w:left="5529" w:hanging="348"/>
      </w:pPr>
      <w:rPr>
        <w:rFonts w:hint="default"/>
        <w:lang w:val="it-IT" w:eastAsia="en-US" w:bidi="ar-SA"/>
      </w:rPr>
    </w:lvl>
    <w:lvl w:ilvl="6" w:tplc="E4D673FE">
      <w:numFmt w:val="bullet"/>
      <w:lvlText w:val="•"/>
      <w:lvlJc w:val="left"/>
      <w:pPr>
        <w:ind w:left="6435" w:hanging="348"/>
      </w:pPr>
      <w:rPr>
        <w:rFonts w:hint="default"/>
        <w:lang w:val="it-IT" w:eastAsia="en-US" w:bidi="ar-SA"/>
      </w:rPr>
    </w:lvl>
    <w:lvl w:ilvl="7" w:tplc="37807D2E">
      <w:numFmt w:val="bullet"/>
      <w:lvlText w:val="•"/>
      <w:lvlJc w:val="left"/>
      <w:pPr>
        <w:ind w:left="7341" w:hanging="348"/>
      </w:pPr>
      <w:rPr>
        <w:rFonts w:hint="default"/>
        <w:lang w:val="it-IT" w:eastAsia="en-US" w:bidi="ar-SA"/>
      </w:rPr>
    </w:lvl>
    <w:lvl w:ilvl="8" w:tplc="EDBA8D90">
      <w:numFmt w:val="bullet"/>
      <w:lvlText w:val="•"/>
      <w:lvlJc w:val="left"/>
      <w:pPr>
        <w:ind w:left="8247" w:hanging="348"/>
      </w:pPr>
      <w:rPr>
        <w:rFonts w:hint="default"/>
        <w:lang w:val="it-IT" w:eastAsia="en-US" w:bidi="ar-SA"/>
      </w:rPr>
    </w:lvl>
  </w:abstractNum>
  <w:abstractNum w:abstractNumId="3" w15:restartNumberingAfterBreak="0">
    <w:nsid w:val="405F492C"/>
    <w:multiLevelType w:val="hybridMultilevel"/>
    <w:tmpl w:val="B816B83E"/>
    <w:lvl w:ilvl="0" w:tplc="93B2B830">
      <w:start w:val="1"/>
      <w:numFmt w:val="decimal"/>
      <w:lvlText w:val="%1."/>
      <w:lvlJc w:val="left"/>
      <w:pPr>
        <w:ind w:left="990" w:hanging="348"/>
        <w:jc w:val="left"/>
      </w:pPr>
      <w:rPr>
        <w:rFonts w:ascii="Times New Roman" w:eastAsia="Times New Roman" w:hAnsi="Times New Roman" w:cs="Times New Roman" w:hint="default"/>
        <w:b w:val="0"/>
        <w:bCs w:val="0"/>
        <w:i w:val="0"/>
        <w:iCs w:val="0"/>
        <w:spacing w:val="0"/>
        <w:w w:val="100"/>
        <w:sz w:val="23"/>
        <w:szCs w:val="23"/>
        <w:lang w:val="it-IT" w:eastAsia="en-US" w:bidi="ar-SA"/>
      </w:rPr>
    </w:lvl>
    <w:lvl w:ilvl="1" w:tplc="96166598">
      <w:numFmt w:val="bullet"/>
      <w:lvlText w:val="•"/>
      <w:lvlJc w:val="left"/>
      <w:pPr>
        <w:ind w:left="1905" w:hanging="348"/>
      </w:pPr>
      <w:rPr>
        <w:rFonts w:hint="default"/>
        <w:lang w:val="it-IT" w:eastAsia="en-US" w:bidi="ar-SA"/>
      </w:rPr>
    </w:lvl>
    <w:lvl w:ilvl="2" w:tplc="E81C3ADE">
      <w:numFmt w:val="bullet"/>
      <w:lvlText w:val="•"/>
      <w:lvlJc w:val="left"/>
      <w:pPr>
        <w:ind w:left="2811" w:hanging="348"/>
      </w:pPr>
      <w:rPr>
        <w:rFonts w:hint="default"/>
        <w:lang w:val="it-IT" w:eastAsia="en-US" w:bidi="ar-SA"/>
      </w:rPr>
    </w:lvl>
    <w:lvl w:ilvl="3" w:tplc="DDE4F712">
      <w:numFmt w:val="bullet"/>
      <w:lvlText w:val="•"/>
      <w:lvlJc w:val="left"/>
      <w:pPr>
        <w:ind w:left="3717" w:hanging="348"/>
      </w:pPr>
      <w:rPr>
        <w:rFonts w:hint="default"/>
        <w:lang w:val="it-IT" w:eastAsia="en-US" w:bidi="ar-SA"/>
      </w:rPr>
    </w:lvl>
    <w:lvl w:ilvl="4" w:tplc="FEF0CFDE">
      <w:numFmt w:val="bullet"/>
      <w:lvlText w:val="•"/>
      <w:lvlJc w:val="left"/>
      <w:pPr>
        <w:ind w:left="4623" w:hanging="348"/>
      </w:pPr>
      <w:rPr>
        <w:rFonts w:hint="default"/>
        <w:lang w:val="it-IT" w:eastAsia="en-US" w:bidi="ar-SA"/>
      </w:rPr>
    </w:lvl>
    <w:lvl w:ilvl="5" w:tplc="249A7C58">
      <w:numFmt w:val="bullet"/>
      <w:lvlText w:val="•"/>
      <w:lvlJc w:val="left"/>
      <w:pPr>
        <w:ind w:left="5529" w:hanging="348"/>
      </w:pPr>
      <w:rPr>
        <w:rFonts w:hint="default"/>
        <w:lang w:val="it-IT" w:eastAsia="en-US" w:bidi="ar-SA"/>
      </w:rPr>
    </w:lvl>
    <w:lvl w:ilvl="6" w:tplc="DABE5226">
      <w:numFmt w:val="bullet"/>
      <w:lvlText w:val="•"/>
      <w:lvlJc w:val="left"/>
      <w:pPr>
        <w:ind w:left="6435" w:hanging="348"/>
      </w:pPr>
      <w:rPr>
        <w:rFonts w:hint="default"/>
        <w:lang w:val="it-IT" w:eastAsia="en-US" w:bidi="ar-SA"/>
      </w:rPr>
    </w:lvl>
    <w:lvl w:ilvl="7" w:tplc="F9A25D5A">
      <w:numFmt w:val="bullet"/>
      <w:lvlText w:val="•"/>
      <w:lvlJc w:val="left"/>
      <w:pPr>
        <w:ind w:left="7341" w:hanging="348"/>
      </w:pPr>
      <w:rPr>
        <w:rFonts w:hint="default"/>
        <w:lang w:val="it-IT" w:eastAsia="en-US" w:bidi="ar-SA"/>
      </w:rPr>
    </w:lvl>
    <w:lvl w:ilvl="8" w:tplc="E21E2974">
      <w:numFmt w:val="bullet"/>
      <w:lvlText w:val="•"/>
      <w:lvlJc w:val="left"/>
      <w:pPr>
        <w:ind w:left="8247" w:hanging="348"/>
      </w:pPr>
      <w:rPr>
        <w:rFonts w:hint="default"/>
        <w:lang w:val="it-IT" w:eastAsia="en-US" w:bidi="ar-SA"/>
      </w:rPr>
    </w:lvl>
  </w:abstractNum>
  <w:num w:numId="1" w16cid:durableId="1790080556">
    <w:abstractNumId w:val="1"/>
  </w:num>
  <w:num w:numId="2" w16cid:durableId="1725449834">
    <w:abstractNumId w:val="0"/>
  </w:num>
  <w:num w:numId="3" w16cid:durableId="1990089969">
    <w:abstractNumId w:val="3"/>
  </w:num>
  <w:num w:numId="4" w16cid:durableId="10444056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E31D4"/>
    <w:rsid w:val="000A4B08"/>
    <w:rsid w:val="000A4EF1"/>
    <w:rsid w:val="001455C4"/>
    <w:rsid w:val="00167427"/>
    <w:rsid w:val="00176D3B"/>
    <w:rsid w:val="002E0541"/>
    <w:rsid w:val="00342678"/>
    <w:rsid w:val="00344F0E"/>
    <w:rsid w:val="003C779C"/>
    <w:rsid w:val="00514DD5"/>
    <w:rsid w:val="006E69FF"/>
    <w:rsid w:val="007853E8"/>
    <w:rsid w:val="007E5022"/>
    <w:rsid w:val="00804328"/>
    <w:rsid w:val="008A71A5"/>
    <w:rsid w:val="008E31D4"/>
    <w:rsid w:val="008F1866"/>
    <w:rsid w:val="00924295"/>
    <w:rsid w:val="00953CC7"/>
    <w:rsid w:val="009F0B7B"/>
    <w:rsid w:val="00A7023F"/>
    <w:rsid w:val="00A91D3E"/>
    <w:rsid w:val="00A953F9"/>
    <w:rsid w:val="00B34C7B"/>
    <w:rsid w:val="00CD02A3"/>
    <w:rsid w:val="00D02FAC"/>
    <w:rsid w:val="00D23B5A"/>
    <w:rsid w:val="00DF006E"/>
    <w:rsid w:val="00FA06DF"/>
    <w:rsid w:val="00FB7C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48394"/>
  <w15:docId w15:val="{AAEC7E4D-8D8D-4911-BBC3-0BE30B658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ind w:left="643"/>
      <w:jc w:val="both"/>
      <w:outlineLvl w:val="0"/>
    </w:pPr>
    <w:rPr>
      <w:b/>
      <w:bCs/>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jc w:val="both"/>
    </w:pPr>
    <w:rPr>
      <w:sz w:val="23"/>
      <w:szCs w:val="23"/>
    </w:rPr>
  </w:style>
  <w:style w:type="paragraph" w:styleId="Paragrafoelenco">
    <w:name w:val="List Paragraph"/>
    <w:basedOn w:val="Normale"/>
    <w:uiPriority w:val="1"/>
    <w:qFormat/>
    <w:pPr>
      <w:spacing w:before="1"/>
      <w:ind w:left="990" w:right="115" w:hanging="348"/>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A91D3E"/>
    <w:pPr>
      <w:tabs>
        <w:tab w:val="center" w:pos="4819"/>
        <w:tab w:val="right" w:pos="9638"/>
      </w:tabs>
    </w:pPr>
  </w:style>
  <w:style w:type="character" w:customStyle="1" w:styleId="IntestazioneCarattere">
    <w:name w:val="Intestazione Carattere"/>
    <w:basedOn w:val="Carpredefinitoparagrafo"/>
    <w:link w:val="Intestazione"/>
    <w:uiPriority w:val="99"/>
    <w:rsid w:val="00A91D3E"/>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A91D3E"/>
    <w:pPr>
      <w:tabs>
        <w:tab w:val="center" w:pos="4819"/>
        <w:tab w:val="right" w:pos="9638"/>
      </w:tabs>
    </w:pPr>
  </w:style>
  <w:style w:type="character" w:customStyle="1" w:styleId="PidipaginaCarattere">
    <w:name w:val="Piè di pagina Carattere"/>
    <w:basedOn w:val="Carpredefinitoparagrafo"/>
    <w:link w:val="Pidipagina"/>
    <w:uiPriority w:val="99"/>
    <w:rsid w:val="00A91D3E"/>
    <w:rPr>
      <w:rFonts w:ascii="Times New Roman" w:eastAsia="Times New Roman" w:hAnsi="Times New Roman"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1524</Words>
  <Characters>8690</Characters>
  <Application>Microsoft Office Word</Application>
  <DocSecurity>0</DocSecurity>
  <Lines>72</Lines>
  <Paragraphs>20</Paragraphs>
  <ScaleCrop>false</ScaleCrop>
  <Company/>
  <LinksUpToDate>false</LinksUpToDate>
  <CharactersWithSpaces>10194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95556689.graffetta</dc:title>
  <dc:creator>leonetti_b</dc:creator>
  <cp:lastModifiedBy>maria elena cignetti</cp:lastModifiedBy>
  <cp:revision>19</cp:revision>
  <dcterms:created xsi:type="dcterms:W3CDTF">2026-06-15T13:24:00Z</dcterms:created>
  <dcterms:modified xsi:type="dcterms:W3CDTF">2026-06-30T11:31:00Z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2021-12-14T00:00:00Z</vt:filetime>
  </property>
  <property fmtid="{D5CDD505-2E9C-101B-9397-08002B2CF9AE}" pid="4" name="Creator">
    <vt:lpwstr>PDFCreator 3.0.2.8660</vt:lpwstr>
  </property>
  <property fmtid="{D5CDD505-2E9C-101B-9397-08002B2CF9AE}" pid="5" name="LastSaved">
    <vt:filetime>2026-06-15T00:00:00Z</vt:filetime>
  </property>
  <property fmtid="{D5CDD505-2E9C-101B-9397-08002B2CF9AE}" pid="6" name="Producer">
    <vt:lpwstr>PDFCreator 3.0.2.8660</vt:lpwstr>
  </property>
</Properties>
</file>